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W-2026/0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sphaltierungsarbeiten Gemeinde Wallenhorst 2026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Gemeinde Wallenhorst schreibt Asphaltierungsarbeiten der Straßen im Gemeindegebiet Wallenhorst öffentlich aus. 
Gegenstand der Maßnahme ist die Bearbeitung von vier Asphaltfahrbahnabschnitten in folgenden Bereichen:
Position 1: Kreuzungsbereich Witten Kamp / Fiestelerstraße / Pollerweg
Position 2: Franksmannstraße, Abschnitt von "Am Bockholt" einschließlich der Brücke über die Bundesstraße B68
Position 3: Sachsegge, Abschnitt von Haus Nr. 20 bis ca. 20 m vor dem Ortseingangsschild
Position 4: Kreuzungsbereich Zum Sportplatz / Goldpohl
Nähere Informationen entnehmen Sie bitte den Vergabeunterlag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